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FA" w:rsidRDefault="00F543FA" w:rsidP="00F543FA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２０１</w:t>
      </w:r>
    </w:p>
    <w:p w:rsidR="00F543FA" w:rsidRPr="002319F7" w:rsidRDefault="00F543FA" w:rsidP="00F543FA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F543FA" w:rsidRPr="002319F7" w:rsidRDefault="00F543FA" w:rsidP="00F543FA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六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r>
        <w:fldChar w:fldCharType="begin"/>
      </w:r>
      <w:r>
        <w:instrText xml:space="preserve"> HYPERLINK "http://llc.a.la9.jp/Papers/evolution%20history/evolution%20history%20of%20US%20partnership%20taxation%20rev9.ppt" </w:instrText>
      </w:r>
      <w:r>
        <w:fldChar w:fldCharType="separate"/>
      </w:r>
      <w:r w:rsidRPr="002319F7">
        <w:rPr>
          <w:rFonts w:ascii="Century" w:eastAsia="ＭＳ 明朝" w:hAnsi="Century" w:cs="Times New Roman" w:hint="eastAsia"/>
          <w:b/>
          <w:color w:val="0000FF"/>
          <w:u w:val="single"/>
        </w:rPr>
        <w:t>年表</w:t>
      </w:r>
      <w:r w:rsidRPr="002319F7">
        <w:rPr>
          <w:rFonts w:ascii="Century" w:eastAsia="ＭＳ 明朝" w:hAnsi="Century" w:cs="Times New Roman"/>
          <w:b/>
          <w:color w:val="0000FF"/>
          <w:u w:val="single"/>
        </w:rPr>
        <w:t>rev.9</w:t>
      </w:r>
      <w:r>
        <w:rPr>
          <w:rFonts w:ascii="Century" w:eastAsia="ＭＳ 明朝" w:hAnsi="Century" w:cs="Times New Roman"/>
          <w:b/>
          <w:color w:val="0000FF"/>
          <w:u w:val="single"/>
        </w:rPr>
        <w:fldChar w:fldCharType="end"/>
      </w:r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F543FA" w:rsidRPr="002319F7" w:rsidRDefault="00F543FA" w:rsidP="00F543FA">
      <w:pPr>
        <w:jc w:val="center"/>
        <w:rPr>
          <w:rFonts w:ascii="Century" w:eastAsia="ＭＳ 明朝" w:hAnsi="Century" w:cs="Times New Roman"/>
          <w:b/>
        </w:rPr>
      </w:pPr>
    </w:p>
    <w:p w:rsidR="00F543FA" w:rsidRPr="00F543FA" w:rsidRDefault="00613E84" w:rsidP="00F543FA">
      <w:pPr>
        <w:jc w:val="center"/>
        <w:rPr>
          <w:b/>
        </w:rPr>
      </w:pPr>
      <w:hyperlink r:id="rId6" w:history="1">
        <w:r w:rsidR="00F543FA" w:rsidRPr="00F543FA">
          <w:rPr>
            <w:rStyle w:val="a7"/>
            <w:b/>
          </w:rPr>
          <w:t>the public</w:t>
        </w:r>
        <w:r w:rsidR="00F543FA" w:rsidRPr="00F543FA">
          <w:rPr>
            <w:rStyle w:val="a7"/>
            <w:b/>
          </w:rPr>
          <w:t>と</w:t>
        </w:r>
        <w:r w:rsidR="00F543FA" w:rsidRPr="00F543FA">
          <w:rPr>
            <w:rStyle w:val="a7"/>
            <w:b/>
          </w:rPr>
          <w:t>public</w:t>
        </w:r>
        <w:r w:rsidR="00F543FA" w:rsidRPr="00F543FA">
          <w:rPr>
            <w:rStyle w:val="a7"/>
            <w:b/>
          </w:rPr>
          <w:t>の</w:t>
        </w:r>
        <w:r w:rsidR="00F543FA" w:rsidRPr="00F543FA">
          <w:rPr>
            <w:rStyle w:val="a7"/>
            <w:b/>
          </w:rPr>
          <w:t>17</w:t>
        </w:r>
        <w:r w:rsidR="00F543FA" w:rsidRPr="00F543FA">
          <w:rPr>
            <w:rStyle w:val="a7"/>
            <w:b/>
          </w:rPr>
          <w:t>個の相違点についてここにまとめておいた</w:t>
        </w:r>
      </w:hyperlink>
    </w:p>
    <w:p w:rsidR="00F543FA" w:rsidRPr="00725663" w:rsidRDefault="00F543FA" w:rsidP="00F543FA">
      <w:pPr>
        <w:jc w:val="center"/>
        <w:rPr>
          <w:rFonts w:ascii="Century" w:eastAsia="ＭＳ 明朝" w:hAnsi="Century" w:cs="Times New Roman"/>
          <w:b/>
        </w:rPr>
      </w:pPr>
    </w:p>
    <w:p w:rsidR="00F543FA" w:rsidRPr="002319F7" w:rsidRDefault="00F543FA" w:rsidP="00F543FA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20160819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F543FA" w:rsidRDefault="00F543FA" w:rsidP="00F543FA"/>
    <w:p w:rsidR="00F543FA" w:rsidRDefault="00F543FA" w:rsidP="00F543FA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 w:rsidR="00865A1F">
        <w:rPr>
          <w:rFonts w:ascii="Century" w:eastAsia="ＭＳ 明朝" w:hAnsi="Century" w:cs="Times New Roman" w:hint="eastAsia"/>
          <w:b/>
        </w:rPr>
        <w:t>16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fldChar w:fldCharType="begin"/>
      </w:r>
      <w:r>
        <w:instrText xml:space="preserve"> HYPERLINK "http://llc.a.la9.jp/Papers/IR4/The%20Fourth%20Industrial%20Revolution%20by%20Klaus%20Schwab%20revX.docx" </w:instrText>
      </w:r>
      <w:r>
        <w:fldChar w:fldCharType="separate"/>
      </w:r>
      <w:r w:rsidRPr="004F41AB">
        <w:rPr>
          <w:rFonts w:ascii="Century" w:eastAsia="ＭＳ 明朝" w:hAnsi="Century" w:cs="Times New Roman" w:hint="eastAsia"/>
          <w:color w:val="0000FF"/>
          <w:u w:val="single"/>
        </w:rPr>
        <w:t>作業ファイル</w:t>
      </w:r>
      <w:r>
        <w:rPr>
          <w:rFonts w:ascii="Century" w:eastAsia="ＭＳ 明朝" w:hAnsi="Century" w:cs="Times New Roman"/>
          <w:color w:val="0000FF"/>
          <w:u w:val="single"/>
        </w:rPr>
        <w:fldChar w:fldCharType="end"/>
      </w:r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アップしておいた。</w:t>
      </w:r>
    </w:p>
    <w:p w:rsidR="00F543FA" w:rsidRDefault="00F543FA" w:rsidP="00F543FA">
      <w:pPr>
        <w:pStyle w:val="4"/>
        <w:tabs>
          <w:tab w:val="right" w:leader="dot" w:pos="8494"/>
        </w:tabs>
        <w:ind w:left="630"/>
        <w:rPr>
          <w:noProof/>
          <w:kern w:val="2"/>
          <w:sz w:val="21"/>
        </w:rPr>
      </w:pPr>
      <w:r w:rsidRPr="00F543FA">
        <w:rPr>
          <w:rStyle w:val="a7"/>
          <w:noProof/>
        </w:rPr>
        <w:t>Cyber warfare</w:t>
      </w:r>
      <w:r>
        <w:rPr>
          <w:noProof/>
          <w:webHidden/>
        </w:rPr>
        <w:tab/>
        <w:t>74</w:t>
      </w:r>
    </w:p>
    <w:p w:rsidR="00F543FA" w:rsidRDefault="00F543FA" w:rsidP="00F543FA">
      <w:pPr>
        <w:pStyle w:val="4"/>
        <w:tabs>
          <w:tab w:val="right" w:leader="dot" w:pos="8494"/>
        </w:tabs>
        <w:ind w:left="630"/>
        <w:rPr>
          <w:noProof/>
          <w:kern w:val="2"/>
          <w:sz w:val="21"/>
        </w:rPr>
      </w:pPr>
      <w:r w:rsidRPr="00F543FA">
        <w:rPr>
          <w:rStyle w:val="a7"/>
          <w:noProof/>
        </w:rPr>
        <w:t>Autonomous warfare</w:t>
      </w:r>
      <w:r w:rsidRPr="00F543FA">
        <w:rPr>
          <w:rStyle w:val="a7"/>
          <w:rFonts w:hint="eastAsia"/>
          <w:noProof/>
        </w:rPr>
        <w:t xml:space="preserve">　自動的規範による戦争</w:t>
      </w:r>
      <w:r>
        <w:rPr>
          <w:noProof/>
          <w:webHidden/>
        </w:rPr>
        <w:tab/>
        <w:t>75</w:t>
      </w:r>
    </w:p>
    <w:p w:rsidR="00F543FA" w:rsidRDefault="00F543FA" w:rsidP="00F543FA">
      <w:pPr>
        <w:pStyle w:val="4"/>
        <w:tabs>
          <w:tab w:val="right" w:leader="dot" w:pos="8494"/>
        </w:tabs>
        <w:ind w:left="630"/>
        <w:rPr>
          <w:noProof/>
          <w:kern w:val="2"/>
          <w:sz w:val="21"/>
        </w:rPr>
      </w:pPr>
      <w:r w:rsidRPr="00F543FA">
        <w:rPr>
          <w:rStyle w:val="a7"/>
          <w:noProof/>
        </w:rPr>
        <w:t>New frontiers in global security</w:t>
      </w:r>
      <w:r w:rsidRPr="00F543FA">
        <w:rPr>
          <w:rStyle w:val="a7"/>
          <w:rFonts w:hint="eastAsia"/>
          <w:noProof/>
        </w:rPr>
        <w:t xml:space="preserve">　地球的安全保障のための未研究分野</w:t>
      </w:r>
      <w:r>
        <w:rPr>
          <w:noProof/>
          <w:webHidden/>
        </w:rPr>
        <w:tab/>
        <w:t>78</w:t>
      </w:r>
    </w:p>
    <w:p w:rsidR="00F543FA" w:rsidRDefault="00F543FA" w:rsidP="00F543FA">
      <w:pPr>
        <w:pStyle w:val="4"/>
        <w:tabs>
          <w:tab w:val="right" w:leader="dot" w:pos="8494"/>
        </w:tabs>
        <w:ind w:left="630"/>
        <w:rPr>
          <w:noProof/>
          <w:kern w:val="2"/>
          <w:sz w:val="21"/>
        </w:rPr>
      </w:pPr>
      <w:r w:rsidRPr="00F543FA">
        <w:rPr>
          <w:rStyle w:val="a7"/>
          <w:noProof/>
        </w:rPr>
        <w:t>Towards a more secure world</w:t>
      </w:r>
      <w:r w:rsidRPr="00F543FA">
        <w:rPr>
          <w:rStyle w:val="a7"/>
          <w:rFonts w:hint="eastAsia"/>
          <w:noProof/>
        </w:rPr>
        <w:t xml:space="preserve">　より安全な世界に向けて</w:t>
      </w:r>
      <w:r>
        <w:rPr>
          <w:noProof/>
          <w:webHidden/>
        </w:rPr>
        <w:tab/>
        <w:t>78-80</w:t>
      </w:r>
    </w:p>
    <w:p w:rsidR="00F543FA" w:rsidRPr="004F41AB" w:rsidRDefault="00F543FA" w:rsidP="00F543F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今週はこれら</w:t>
      </w:r>
      <w:r w:rsidRPr="004F41AB">
        <w:rPr>
          <w:rFonts w:ascii="Century" w:eastAsia="ＭＳ 明朝" w:hAnsi="Century" w:cs="Times New Roman" w:hint="eastAsia"/>
        </w:rPr>
        <w:t>を和訳した。</w:t>
      </w:r>
    </w:p>
    <w:p w:rsidR="00F543FA" w:rsidRDefault="00F543FA" w:rsidP="00F543FA"/>
    <w:p w:rsidR="00F543FA" w:rsidRDefault="00F543FA" w:rsidP="00F543FA">
      <w:pPr>
        <w:rPr>
          <w:b/>
        </w:rPr>
      </w:pPr>
      <w:r>
        <w:t xml:space="preserve">　</w:t>
      </w:r>
      <w:r w:rsidRPr="00506BEE">
        <w:rPr>
          <w:b/>
        </w:rPr>
        <w:t>今週の</w:t>
      </w:r>
      <w:r w:rsidRPr="00506BEE">
        <w:rPr>
          <w:b/>
        </w:rPr>
        <w:t>punch line</w:t>
      </w:r>
      <w:r w:rsidRPr="00506BEE">
        <w:rPr>
          <w:b/>
        </w:rPr>
        <w:t>は</w:t>
      </w:r>
      <w:r>
        <w:rPr>
          <w:b/>
        </w:rPr>
        <w:t>先週示した</w:t>
      </w:r>
      <w:r>
        <w:rPr>
          <w:b/>
        </w:rPr>
        <w:t>71</w:t>
      </w:r>
      <w:r w:rsidRPr="00506BEE">
        <w:rPr>
          <w:b/>
        </w:rPr>
        <w:t>頁の：</w:t>
      </w:r>
    </w:p>
    <w:p w:rsidR="00F543FA" w:rsidRDefault="00F543FA" w:rsidP="00865A1F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F543FA">
        <w:rPr>
          <w:rFonts w:ascii="Century" w:eastAsia="ＭＳ 明朝" w:hAnsi="Century" w:cs="Times New Roman"/>
          <w:kern w:val="0"/>
          <w:sz w:val="22"/>
        </w:rPr>
        <w:t>第四次産業革命は、</w:t>
      </w:r>
      <w:r w:rsidRPr="00F543FA">
        <w:rPr>
          <w:rFonts w:ascii="Century" w:eastAsia="ＭＳ 明朝" w:hAnsi="Century" w:cs="Times New Roman"/>
          <w:kern w:val="0"/>
          <w:sz w:val="22"/>
        </w:rPr>
        <w:t>state relationships and international security</w:t>
      </w:r>
      <w:r w:rsidRPr="00F543FA">
        <w:rPr>
          <w:rFonts w:ascii="Century" w:eastAsia="ＭＳ 明朝" w:hAnsi="Century" w:cs="Times New Roman"/>
          <w:kern w:val="0"/>
          <w:sz w:val="22"/>
        </w:rPr>
        <w:t>（国家関係と邦際社会安全保障と）の本質に、根本的変化を生じさせる。当</w:t>
      </w:r>
      <w:r w:rsidRPr="00F543FA">
        <w:rPr>
          <w:rFonts w:ascii="Century" w:eastAsia="ＭＳ 明朝" w:hAnsi="Century" w:cs="Times New Roman"/>
          <w:kern w:val="0"/>
          <w:sz w:val="22"/>
        </w:rPr>
        <w:t>section</w:t>
      </w:r>
      <w:r w:rsidRPr="00F543FA">
        <w:rPr>
          <w:rFonts w:ascii="Century" w:eastAsia="ＭＳ 明朝" w:hAnsi="Century" w:cs="Times New Roman"/>
          <w:kern w:val="0"/>
          <w:sz w:val="22"/>
        </w:rPr>
        <w:t>ではこの問題を特別の注意を払って検討する。なぜなら安全保障問題こそ、第四次産業革命が引き起こす全ての重要</w:t>
      </w:r>
      <w:r w:rsidRPr="00F543FA">
        <w:rPr>
          <w:rFonts w:ascii="Century" w:eastAsia="ＭＳ 明朝" w:hAnsi="Century" w:cs="Times New Roman"/>
          <w:kern w:val="0"/>
          <w:sz w:val="22"/>
        </w:rPr>
        <w:t>transformations</w:t>
      </w:r>
      <w:r w:rsidRPr="00F543FA">
        <w:rPr>
          <w:rFonts w:ascii="Century" w:eastAsia="ＭＳ 明朝" w:hAnsi="Century" w:cs="Times New Roman"/>
          <w:kern w:val="0"/>
          <w:sz w:val="22"/>
        </w:rPr>
        <w:t>の中で、十分な議論が行われていない、すなわち、</w:t>
      </w:r>
      <w:r w:rsidRPr="00F543FA">
        <w:rPr>
          <w:rFonts w:ascii="Century" w:eastAsia="ＭＳ 明朝" w:hAnsi="Century" w:cs="Times New Roman"/>
          <w:kern w:val="0"/>
          <w:sz w:val="22"/>
        </w:rPr>
        <w:t>governments</w:t>
      </w:r>
      <w:r w:rsidRPr="00F543FA">
        <w:rPr>
          <w:rFonts w:ascii="Century" w:eastAsia="ＭＳ 明朝" w:hAnsi="Century" w:cs="Times New Roman"/>
          <w:kern w:val="0"/>
          <w:sz w:val="22"/>
        </w:rPr>
        <w:t>や防衛産業による議論ではなく、その外部にある</w:t>
      </w:r>
      <w:r w:rsidRPr="00865A1F">
        <w:rPr>
          <w:rFonts w:ascii="Century" w:eastAsia="ＭＳ 明朝" w:hAnsi="Century" w:cs="Times New Roman"/>
          <w:kern w:val="0"/>
          <w:sz w:val="22"/>
          <w:u w:val="single"/>
        </w:rPr>
        <w:t>the public domain</w:t>
      </w:r>
      <w:r w:rsidRPr="00F543FA">
        <w:rPr>
          <w:rFonts w:ascii="Century" w:eastAsia="ＭＳ 明朝" w:hAnsi="Century" w:cs="Times New Roman"/>
          <w:kern w:val="0"/>
          <w:sz w:val="22"/>
        </w:rPr>
        <w:t>による議論が、十分に行われていないと私</w:t>
      </w:r>
      <w:r w:rsidR="00865A1F">
        <w:rPr>
          <w:rFonts w:ascii="Century" w:eastAsia="ＭＳ 明朝" w:hAnsi="Century" w:cs="Times New Roman"/>
          <w:kern w:val="0"/>
          <w:sz w:val="22"/>
        </w:rPr>
        <w:t>（</w:t>
      </w:r>
      <w:r w:rsidR="00865A1F">
        <w:rPr>
          <w:rFonts w:ascii="Century" w:eastAsia="ＭＳ 明朝" w:hAnsi="Century" w:cs="Times New Roman"/>
          <w:kern w:val="0"/>
          <w:sz w:val="22"/>
        </w:rPr>
        <w:t>Klaus Schwab</w:t>
      </w:r>
      <w:r w:rsidR="00865A1F">
        <w:rPr>
          <w:rFonts w:ascii="Century" w:eastAsia="ＭＳ 明朝" w:hAnsi="Century" w:cs="Times New Roman"/>
          <w:kern w:val="0"/>
          <w:sz w:val="22"/>
        </w:rPr>
        <w:t>）</w:t>
      </w:r>
      <w:r w:rsidRPr="00F543FA">
        <w:rPr>
          <w:rFonts w:ascii="Century" w:eastAsia="ＭＳ 明朝" w:hAnsi="Century" w:cs="Times New Roman"/>
          <w:kern w:val="0"/>
          <w:sz w:val="22"/>
        </w:rPr>
        <w:t>は感じるからだ。</w:t>
      </w:r>
    </w:p>
    <w:p w:rsidR="00F543FA" w:rsidRDefault="00F543FA" w:rsidP="00507F4E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t>･･･を選んだ。後戻りしたのは、</w:t>
      </w:r>
      <w:r w:rsidR="00BC7818">
        <w:rPr>
          <w:rFonts w:ascii="Century" w:eastAsia="ＭＳ 明朝" w:hAnsi="Century" w:cs="Times New Roman"/>
          <w:kern w:val="0"/>
          <w:sz w:val="22"/>
        </w:rPr>
        <w:t>下線を付した</w:t>
      </w:r>
      <w:r>
        <w:rPr>
          <w:rFonts w:ascii="Century" w:eastAsia="ＭＳ 明朝" w:hAnsi="Century" w:cs="Times New Roman"/>
          <w:kern w:val="0"/>
          <w:sz w:val="22"/>
        </w:rPr>
        <w:t>the public</w:t>
      </w:r>
      <w:r>
        <w:rPr>
          <w:rFonts w:ascii="Century" w:eastAsia="ＭＳ 明朝" w:hAnsi="Century" w:cs="Times New Roman"/>
          <w:kern w:val="0"/>
          <w:sz w:val="22"/>
        </w:rPr>
        <w:t>という表現が累計四回になり、そろそろ説明を、と思ったからだ。</w:t>
      </w:r>
    </w:p>
    <w:p w:rsidR="00F543FA" w:rsidRDefault="00F543FA" w:rsidP="00F543FA">
      <w:pPr>
        <w:rPr>
          <w:rFonts w:ascii="Century" w:eastAsia="ＭＳ 明朝" w:hAnsi="Century" w:cs="Times New Roman"/>
          <w:kern w:val="0"/>
          <w:sz w:val="22"/>
        </w:rPr>
      </w:pPr>
    </w:p>
    <w:p w:rsidR="00865A1F" w:rsidRDefault="00F543FA" w:rsidP="00F543FA">
      <w:pPr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t xml:space="preserve">　</w:t>
      </w:r>
      <w:r w:rsidR="00507F4E" w:rsidRPr="00507F4E">
        <w:rPr>
          <w:rFonts w:ascii="Century" w:eastAsia="ＭＳ 明朝" w:hAnsi="Century" w:cs="Times New Roman"/>
          <w:b/>
          <w:kern w:val="0"/>
          <w:sz w:val="22"/>
        </w:rPr>
        <w:t>the public domain</w:t>
      </w:r>
      <w:r w:rsidR="00507F4E" w:rsidRPr="00507F4E">
        <w:rPr>
          <w:rFonts w:ascii="Century" w:eastAsia="ＭＳ 明朝" w:hAnsi="Century" w:cs="Times New Roman"/>
          <w:b/>
          <w:kern w:val="0"/>
          <w:sz w:val="22"/>
        </w:rPr>
        <w:t>とは</w:t>
      </w:r>
      <w:r w:rsidRPr="00507F4E">
        <w:rPr>
          <w:rFonts w:ascii="Century" w:eastAsia="ＭＳ 明朝" w:hAnsi="Century" w:cs="Times New Roman"/>
          <w:b/>
          <w:kern w:val="0"/>
          <w:sz w:val="22"/>
        </w:rPr>
        <w:t>ハーバーマスやテイラーが主唱する</w:t>
      </w:r>
      <w:proofErr w:type="spellStart"/>
      <w:r w:rsidRPr="00507F4E">
        <w:rPr>
          <w:rFonts w:ascii="Century" w:eastAsia="ＭＳ 明朝" w:hAnsi="Century" w:cs="Times New Roman"/>
          <w:b/>
          <w:kern w:val="0"/>
          <w:sz w:val="22"/>
        </w:rPr>
        <w:t>Postsecularism</w:t>
      </w:r>
      <w:proofErr w:type="spellEnd"/>
      <w:r w:rsidRPr="00507F4E">
        <w:rPr>
          <w:rFonts w:ascii="Century" w:eastAsia="ＭＳ 明朝" w:hAnsi="Century" w:cs="Times New Roman"/>
          <w:b/>
          <w:kern w:val="0"/>
          <w:sz w:val="22"/>
        </w:rPr>
        <w:t>が言うところの</w:t>
      </w:r>
      <w:r w:rsidRPr="00BC7818">
        <w:rPr>
          <w:rFonts w:ascii="Century" w:eastAsia="ＭＳ 明朝" w:hAnsi="Century" w:cs="Times New Roman"/>
          <w:b/>
          <w:kern w:val="0"/>
          <w:sz w:val="22"/>
        </w:rPr>
        <w:t>the public sphere</w:t>
      </w:r>
      <w:r w:rsidRPr="00507F4E">
        <w:rPr>
          <w:rFonts w:ascii="Century" w:eastAsia="ＭＳ 明朝" w:hAnsi="Century" w:cs="Times New Roman"/>
          <w:b/>
          <w:kern w:val="0"/>
          <w:sz w:val="22"/>
        </w:rPr>
        <w:t>のこと</w:t>
      </w:r>
      <w:r w:rsidRPr="00F543FA">
        <w:rPr>
          <w:rFonts w:ascii="Century" w:eastAsia="ＭＳ 明朝" w:hAnsi="Century" w:cs="Times New Roman"/>
          <w:kern w:val="0"/>
          <w:sz w:val="22"/>
        </w:rPr>
        <w:t>。</w:t>
      </w:r>
      <w:r w:rsidR="00BC7818">
        <w:rPr>
          <w:rFonts w:ascii="Century" w:eastAsia="ＭＳ 明朝" w:hAnsi="Century" w:cs="Times New Roman"/>
          <w:kern w:val="0"/>
          <w:sz w:val="22"/>
        </w:rPr>
        <w:t>その説明は</w:t>
      </w:r>
      <w:hyperlink r:id="rId7" w:history="1">
        <w:r w:rsidR="00BC7818" w:rsidRPr="00BC7818">
          <w:rPr>
            <w:rStyle w:val="a7"/>
            <w:rFonts w:ascii="Century" w:eastAsia="ＭＳ 明朝" w:hAnsi="Century" w:cs="Times New Roman"/>
            <w:kern w:val="0"/>
            <w:sz w:val="22"/>
          </w:rPr>
          <w:t>このパワポ</w:t>
        </w:r>
      </w:hyperlink>
      <w:r w:rsidR="00BC7818">
        <w:rPr>
          <w:rFonts w:ascii="Century" w:eastAsia="ＭＳ 明朝" w:hAnsi="Century" w:cs="Times New Roman"/>
          <w:kern w:val="0"/>
          <w:sz w:val="22"/>
        </w:rPr>
        <w:t>の</w:t>
      </w:r>
      <w:r w:rsidR="00BC7818">
        <w:rPr>
          <w:rFonts w:ascii="Century" w:eastAsia="ＭＳ 明朝" w:hAnsi="Century" w:cs="Times New Roman"/>
          <w:kern w:val="0"/>
          <w:sz w:val="22"/>
        </w:rPr>
        <w:t>4</w:t>
      </w:r>
      <w:r w:rsidR="00BC7818">
        <w:rPr>
          <w:rFonts w:ascii="Century" w:eastAsia="ＭＳ 明朝" w:hAnsi="Century" w:cs="Times New Roman"/>
          <w:kern w:val="0"/>
          <w:sz w:val="22"/>
        </w:rPr>
        <w:t>頁</w:t>
      </w:r>
      <w:r w:rsidR="00BC7818">
        <w:rPr>
          <w:rFonts w:ascii="Century" w:eastAsia="ＭＳ 明朝" w:hAnsi="Century" w:cs="Times New Roman"/>
          <w:kern w:val="0"/>
          <w:sz w:val="22"/>
        </w:rPr>
        <w:t>5</w:t>
      </w:r>
      <w:r w:rsidR="00BC7818">
        <w:rPr>
          <w:rFonts w:ascii="Century" w:eastAsia="ＭＳ 明朝" w:hAnsi="Century" w:cs="Times New Roman"/>
          <w:kern w:val="0"/>
          <w:sz w:val="22"/>
        </w:rPr>
        <w:t>頁にある。</w:t>
      </w:r>
      <w:r w:rsidRPr="00F543FA">
        <w:rPr>
          <w:rFonts w:ascii="Century" w:eastAsia="ＭＳ 明朝" w:hAnsi="Century" w:cs="Times New Roman"/>
          <w:kern w:val="0"/>
          <w:sz w:val="22"/>
        </w:rPr>
        <w:t>必ず定冠詞</w:t>
      </w:r>
      <w:r w:rsidRPr="00F543FA">
        <w:rPr>
          <w:rFonts w:ascii="Century" w:eastAsia="ＭＳ 明朝" w:hAnsi="Century" w:cs="Times New Roman"/>
          <w:kern w:val="0"/>
          <w:sz w:val="22"/>
        </w:rPr>
        <w:t>the</w:t>
      </w:r>
      <w:r w:rsidRPr="00F543FA">
        <w:rPr>
          <w:rFonts w:ascii="Century" w:eastAsia="ＭＳ 明朝" w:hAnsi="Century" w:cs="Times New Roman"/>
          <w:kern w:val="0"/>
          <w:sz w:val="22"/>
        </w:rPr>
        <w:t>がつくことに注意。</w:t>
      </w:r>
      <w:hyperlink r:id="rId8" w:history="1"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the public</w:t>
        </w:r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と</w:t>
        </w:r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public</w:t>
        </w:r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の</w:t>
        </w:r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17</w:t>
        </w:r>
        <w:r w:rsidRPr="00F543FA">
          <w:rPr>
            <w:rFonts w:ascii="Century" w:eastAsia="ＭＳ 明朝" w:hAnsi="Century" w:cs="Times New Roman"/>
            <w:color w:val="0000FF"/>
            <w:kern w:val="0"/>
            <w:sz w:val="22"/>
            <w:u w:val="single"/>
          </w:rPr>
          <w:t>個の相違点についてここにまとめておいた</w:t>
        </w:r>
      </w:hyperlink>
      <w:r w:rsidR="009836C3">
        <w:rPr>
          <w:rFonts w:ascii="Century" w:eastAsia="ＭＳ 明朝" w:hAnsi="Century" w:cs="Times New Roman"/>
          <w:kern w:val="0"/>
          <w:sz w:val="22"/>
        </w:rPr>
        <w:t>。</w:t>
      </w:r>
      <w:r w:rsidR="00865A1F">
        <w:rPr>
          <w:rFonts w:ascii="Century" w:eastAsia="ＭＳ 明朝" w:hAnsi="Century" w:cs="Times New Roman"/>
          <w:kern w:val="0"/>
          <w:sz w:val="22"/>
        </w:rPr>
        <w:t>次頁にも貼り付けた。</w:t>
      </w:r>
      <w:r w:rsidR="00BC7818">
        <w:rPr>
          <w:rFonts w:ascii="Century" w:eastAsia="ＭＳ 明朝" w:hAnsi="Century" w:cs="Times New Roman"/>
          <w:kern w:val="0"/>
          <w:sz w:val="22"/>
        </w:rPr>
        <w:t>とても重要な知識だから必ずご覧いただきたい</w:t>
      </w:r>
      <w:r w:rsidR="00865A1F">
        <w:rPr>
          <w:rFonts w:ascii="Century" w:eastAsia="ＭＳ 明朝" w:hAnsi="Century" w:cs="Times New Roman"/>
          <w:kern w:val="0"/>
          <w:sz w:val="22"/>
        </w:rPr>
        <w:t>。</w:t>
      </w:r>
    </w:p>
    <w:p w:rsidR="00865A1F" w:rsidRDefault="00865A1F" w:rsidP="000E508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t>西洋社会はこの</w:t>
      </w:r>
      <w:r>
        <w:rPr>
          <w:rFonts w:ascii="Century" w:eastAsia="ＭＳ 明朝" w:hAnsi="Century" w:cs="Times New Roman"/>
          <w:kern w:val="0"/>
          <w:sz w:val="22"/>
        </w:rPr>
        <w:t>the public</w:t>
      </w:r>
      <w:r>
        <w:rPr>
          <w:rFonts w:ascii="Century" w:eastAsia="ＭＳ 明朝" w:hAnsi="Century" w:cs="Times New Roman"/>
          <w:kern w:val="0"/>
          <w:sz w:val="22"/>
        </w:rPr>
        <w:t>と</w:t>
      </w:r>
      <w:r>
        <w:rPr>
          <w:rFonts w:ascii="Century" w:eastAsia="ＭＳ 明朝" w:hAnsi="Century" w:cs="Times New Roman"/>
          <w:kern w:val="0"/>
          <w:sz w:val="22"/>
        </w:rPr>
        <w:t>public</w:t>
      </w:r>
      <w:r>
        <w:rPr>
          <w:rFonts w:ascii="Century" w:eastAsia="ＭＳ 明朝" w:hAnsi="Century" w:cs="Times New Roman"/>
          <w:kern w:val="0"/>
          <w:sz w:val="22"/>
        </w:rPr>
        <w:t>とが共存して構成される。この</w:t>
      </w:r>
      <w:r>
        <w:rPr>
          <w:rFonts w:ascii="Century" w:eastAsia="ＭＳ 明朝" w:hAnsi="Century" w:cs="Times New Roman" w:hint="eastAsia"/>
          <w:kern w:val="0"/>
          <w:sz w:val="22"/>
        </w:rPr>
        <w:t>二つの</w:t>
      </w:r>
      <w:r>
        <w:rPr>
          <w:rFonts w:ascii="Century" w:eastAsia="ＭＳ 明朝" w:hAnsi="Century" w:cs="Times New Roman" w:hint="eastAsia"/>
          <w:kern w:val="0"/>
          <w:sz w:val="22"/>
        </w:rPr>
        <w:t>sphere</w:t>
      </w:r>
      <w:r>
        <w:rPr>
          <w:rFonts w:ascii="Century" w:eastAsia="ＭＳ 明朝" w:hAnsi="Century" w:cs="Times New Roman" w:hint="eastAsia"/>
          <w:kern w:val="0"/>
          <w:sz w:val="22"/>
        </w:rPr>
        <w:t>は</w:t>
      </w:r>
      <w:r>
        <w:rPr>
          <w:rFonts w:ascii="Century" w:eastAsia="ＭＳ 明朝" w:hAnsi="Century" w:cs="Times New Roman" w:hint="eastAsia"/>
          <w:kern w:val="0"/>
          <w:sz w:val="22"/>
        </w:rPr>
        <w:t>norm</w:t>
      </w:r>
      <w:r>
        <w:rPr>
          <w:rFonts w:ascii="Century" w:eastAsia="ＭＳ 明朝" w:hAnsi="Century" w:cs="Times New Roman" w:hint="eastAsia"/>
          <w:kern w:val="0"/>
          <w:sz w:val="22"/>
        </w:rPr>
        <w:t>（規範）が異なることからも分かるが、本来は共存が難しい拮抗しあうものだ。従って西洋社会の安定とは、内に常に緊張をはらんだ安定と言える。</w:t>
      </w:r>
      <w:r w:rsidR="00466B99">
        <w:rPr>
          <w:rFonts w:ascii="Century" w:eastAsia="ＭＳ 明朝" w:hAnsi="Century" w:cs="Times New Roman" w:hint="eastAsia"/>
          <w:kern w:val="0"/>
          <w:sz w:val="22"/>
        </w:rPr>
        <w:t>物性物理でいう</w:t>
      </w:r>
      <w:r w:rsidR="00630D1E">
        <w:rPr>
          <w:rFonts w:ascii="Century" w:eastAsia="ＭＳ 明朝" w:hAnsi="Century" w:cs="Times New Roman" w:hint="eastAsia"/>
          <w:kern w:val="0"/>
          <w:sz w:val="22"/>
        </w:rPr>
        <w:t>内部応力の大きいダイヤモンドや強化ガラスの様な「安定」だ。</w:t>
      </w:r>
      <w:r w:rsidR="00475017">
        <w:rPr>
          <w:rFonts w:ascii="Century" w:eastAsia="ＭＳ 明朝" w:hAnsi="Century" w:cs="Times New Roman" w:hint="eastAsia"/>
          <w:kern w:val="0"/>
          <w:sz w:val="22"/>
        </w:rPr>
        <w:t>平常時の</w:t>
      </w:r>
      <w:r w:rsidR="000C7A87">
        <w:rPr>
          <w:rFonts w:ascii="Century" w:eastAsia="ＭＳ 明朝" w:hAnsi="Century" w:cs="Times New Roman" w:hint="eastAsia"/>
          <w:kern w:val="0"/>
          <w:sz w:val="22"/>
        </w:rPr>
        <w:t>日本社会の</w:t>
      </w:r>
      <w:r w:rsidR="00475017">
        <w:rPr>
          <w:rFonts w:ascii="Century" w:eastAsia="ＭＳ 明朝" w:hAnsi="Century" w:cs="Times New Roman" w:hint="eastAsia"/>
          <w:kern w:val="0"/>
          <w:sz w:val="22"/>
        </w:rPr>
        <w:t>様に、</w:t>
      </w:r>
      <w:r w:rsidR="000E5087">
        <w:rPr>
          <w:rFonts w:ascii="Century" w:eastAsia="ＭＳ 明朝" w:hAnsi="Century" w:cs="Times New Roman" w:hint="eastAsia"/>
          <w:kern w:val="0"/>
          <w:sz w:val="22"/>
        </w:rPr>
        <w:t>（国家</w:t>
      </w:r>
      <w:r w:rsidR="00475017">
        <w:rPr>
          <w:rFonts w:ascii="Century" w:eastAsia="ＭＳ 明朝" w:hAnsi="Century" w:cs="Times New Roman" w:hint="eastAsia"/>
          <w:kern w:val="0"/>
          <w:sz w:val="22"/>
        </w:rPr>
        <w:t>に向</w:t>
      </w:r>
      <w:r w:rsidR="000E5087">
        <w:rPr>
          <w:rFonts w:ascii="Century" w:eastAsia="ＭＳ 明朝" w:hAnsi="Century" w:cs="Times New Roman" w:hint="eastAsia"/>
          <w:kern w:val="0"/>
          <w:sz w:val="22"/>
        </w:rPr>
        <w:t>く方向を正方向として）</w:t>
      </w:r>
      <w:r w:rsidR="00475017">
        <w:rPr>
          <w:rFonts w:ascii="Century" w:eastAsia="ＭＳ 明朝" w:hAnsi="Century" w:cs="Times New Roman" w:hint="eastAsia"/>
          <w:kern w:val="0"/>
          <w:sz w:val="22"/>
        </w:rPr>
        <w:t>一人一人に</w:t>
      </w:r>
      <w:r w:rsidR="00475017">
        <w:rPr>
          <w:rFonts w:ascii="Century" w:eastAsia="ＭＳ 明朝" w:hAnsi="Century" w:cs="Times New Roman" w:hint="eastAsia"/>
          <w:kern w:val="0"/>
          <w:sz w:val="22"/>
        </w:rPr>
        <w:t>加わる斥力も引力も小さい</w:t>
      </w:r>
      <w:r w:rsidR="000C7A87">
        <w:rPr>
          <w:rFonts w:ascii="Century" w:eastAsia="ＭＳ 明朝" w:hAnsi="Century" w:cs="Times New Roman" w:hint="eastAsia"/>
          <w:kern w:val="0"/>
          <w:sz w:val="22"/>
        </w:rPr>
        <w:t>「安定」とは異なる。</w:t>
      </w:r>
      <w:r w:rsidR="000E508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</w:t>
      </w:r>
      <w:bookmarkStart w:id="0" w:name="_GoBack"/>
      <w:bookmarkEnd w:id="0"/>
      <w:r w:rsidR="000E5087">
        <w:rPr>
          <w:rFonts w:ascii="Century" w:eastAsia="ＭＳ 明朝" w:hAnsi="Century" w:cs="Times New Roman" w:hint="eastAsia"/>
          <w:kern w:val="0"/>
          <w:sz w:val="22"/>
        </w:rPr>
        <w:t xml:space="preserve">　　　　　　</w:t>
      </w:r>
      <w:r w:rsidR="007B54B7">
        <w:rPr>
          <w:rFonts w:ascii="Century" w:eastAsia="ＭＳ 明朝" w:hAnsi="Century" w:cs="Times New Roman" w:hint="eastAsia"/>
          <w:kern w:val="0"/>
          <w:sz w:val="22"/>
        </w:rPr>
        <w:t>今週は以上。来週も請うご期待。</w:t>
      </w:r>
    </w:p>
    <w:p w:rsidR="0075788B" w:rsidRDefault="0075788B">
      <w:pPr>
        <w:widowControl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br w:type="page"/>
      </w:r>
    </w:p>
    <w:p w:rsidR="0075788B" w:rsidRDefault="0075788B">
      <w:pPr>
        <w:widowControl/>
        <w:jc w:val="left"/>
        <w:rPr>
          <w:rFonts w:ascii="Century" w:eastAsia="ＭＳ 明朝" w:hAnsi="Century" w:cs="Times New Roman"/>
          <w:kern w:val="0"/>
          <w:sz w:val="22"/>
        </w:rPr>
        <w:sectPr w:rsidR="0075788B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D55CE" w:rsidRDefault="009836C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567559"/>
            <wp:positionH relativeFrom="column">
              <wp:align>center</wp:align>
            </wp:positionH>
            <wp:positionV relativeFrom="page">
              <wp:align>top</wp:align>
            </wp:positionV>
            <wp:extent cx="9078120" cy="641304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120" cy="64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5CE" w:rsidSect="00507F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84" w:rsidRDefault="00613E84" w:rsidP="00F543FA">
      <w:r>
        <w:separator/>
      </w:r>
    </w:p>
  </w:endnote>
  <w:endnote w:type="continuationSeparator" w:id="0">
    <w:p w:rsidR="00613E84" w:rsidRDefault="00613E84" w:rsidP="00F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90478"/>
      <w:docPartObj>
        <w:docPartGallery w:val="Page Numbers (Bottom of Page)"/>
        <w:docPartUnique/>
      </w:docPartObj>
    </w:sdtPr>
    <w:sdtEndPr/>
    <w:sdtContent>
      <w:p w:rsidR="007B54B7" w:rsidRDefault="007B54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87" w:rsidRPr="000E5087">
          <w:rPr>
            <w:noProof/>
            <w:lang w:val="ja-JP"/>
          </w:rPr>
          <w:t>2</w:t>
        </w:r>
        <w:r>
          <w:fldChar w:fldCharType="end"/>
        </w:r>
      </w:p>
    </w:sdtContent>
  </w:sdt>
  <w:p w:rsidR="007B54B7" w:rsidRDefault="007B5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84" w:rsidRDefault="00613E84" w:rsidP="00F543FA">
      <w:r>
        <w:separator/>
      </w:r>
    </w:p>
  </w:footnote>
  <w:footnote w:type="continuationSeparator" w:id="0">
    <w:p w:rsidR="00613E84" w:rsidRDefault="00613E84" w:rsidP="00F5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A"/>
    <w:rsid w:val="000C7A87"/>
    <w:rsid w:val="000E5087"/>
    <w:rsid w:val="002E5130"/>
    <w:rsid w:val="00466B99"/>
    <w:rsid w:val="00475017"/>
    <w:rsid w:val="00507F4E"/>
    <w:rsid w:val="00533DBA"/>
    <w:rsid w:val="00613E84"/>
    <w:rsid w:val="00630D1E"/>
    <w:rsid w:val="0075788B"/>
    <w:rsid w:val="007B54B7"/>
    <w:rsid w:val="00865A1F"/>
    <w:rsid w:val="009836C3"/>
    <w:rsid w:val="00BC7818"/>
    <w:rsid w:val="00BD55CE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37602-9DEB-4FBE-8002-BDCDC10D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3FA"/>
  </w:style>
  <w:style w:type="paragraph" w:styleId="a5">
    <w:name w:val="footer"/>
    <w:basedOn w:val="a"/>
    <w:link w:val="a6"/>
    <w:uiPriority w:val="99"/>
    <w:unhideWhenUsed/>
    <w:rsid w:val="00F54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3FA"/>
  </w:style>
  <w:style w:type="character" w:styleId="a7">
    <w:name w:val="Hyperlink"/>
    <w:basedOn w:val="a0"/>
    <w:uiPriority w:val="99"/>
    <w:unhideWhenUsed/>
    <w:rsid w:val="00F543FA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F543FA"/>
    <w:pPr>
      <w:widowControl/>
      <w:ind w:leftChars="300" w:left="660" w:firstLine="360"/>
      <w:jc w:val="left"/>
    </w:pPr>
    <w:rPr>
      <w:kern w:val="0"/>
      <w:sz w:val="22"/>
    </w:rPr>
  </w:style>
  <w:style w:type="character" w:styleId="a8">
    <w:name w:val="FollowedHyperlink"/>
    <w:basedOn w:val="a0"/>
    <w:uiPriority w:val="99"/>
    <w:semiHidden/>
    <w:unhideWhenUsed/>
    <w:rsid w:val="00757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Duo%20Sunt/two%20powers%20principles%20rev5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lc.a.la9.jp/Papers/What%20is%20the%20key%20source%20of%20capacity%20to%20innovate%20this%20world/What%20is%20the%20key%20source%20of%20capacity%20to%20innovate%20this%20world%20rev1.ppt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Duo%20Sunt/two%20powers%20principles%20rev5.ppt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6</cp:revision>
  <dcterms:created xsi:type="dcterms:W3CDTF">2016-08-18T07:24:00Z</dcterms:created>
  <dcterms:modified xsi:type="dcterms:W3CDTF">2016-08-19T01:35:00Z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